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7634" w:rsidRPr="004F7634" w:rsidRDefault="004F7634" w:rsidP="004F763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CO"/>
        </w:rPr>
      </w:pPr>
      <w:bookmarkStart w:id="0" w:name="_GoBack"/>
      <w:bookmarkEnd w:id="0"/>
      <w:r w:rsidRPr="004F7634">
        <w:rPr>
          <w:rFonts w:ascii="Times New Roman" w:eastAsia="Times New Roman" w:hAnsi="Times New Roman" w:cs="Times New Roman"/>
          <w:b/>
          <w:bCs/>
          <w:sz w:val="36"/>
          <w:szCs w:val="36"/>
          <w:lang w:eastAsia="es-CO"/>
        </w:rPr>
        <w:t>SÍNTESIS DEL LABORATORIO CREATIVO POZONERO</w:t>
      </w:r>
    </w:p>
    <w:p w:rsidR="004F7634" w:rsidRPr="004F7634" w:rsidRDefault="004F7634" w:rsidP="004F76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</w:pPr>
      <w:r w:rsidRPr="004F7634"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  <w:t>“Laboratorio Creativo Pozonero: Nodo Expresivo de Imaginarios Comunitarios”</w:t>
      </w:r>
    </w:p>
    <w:p w:rsidR="004F7634" w:rsidRPr="004F7634" w:rsidRDefault="004F7634" w:rsidP="004F76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4F7634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Eje Pedagógico:</w:t>
      </w:r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El arte y el folclor como lenguajes de sanación colectiva, el territorio como lienzo </w:t>
      </w:r>
      <w:proofErr w:type="spellStart"/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>anfíbio</w:t>
      </w:r>
      <w:proofErr w:type="spellEnd"/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y las estéticas cimarronas y precolombinas como tecnologías de libertad, origen y memoria viva.</w:t>
      </w:r>
    </w:p>
    <w:p w:rsidR="004F7634" w:rsidRPr="004F7634" w:rsidRDefault="004F7634" w:rsidP="004F76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</w:pPr>
      <w:r w:rsidRPr="004F7634"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  <w:t>1. PROPÓSITO FORMATIVO: La Alquimia Creativa de la Autoestima</w:t>
      </w:r>
    </w:p>
    <w:p w:rsidR="004F7634" w:rsidRPr="004F7634" w:rsidRDefault="004F7634" w:rsidP="004F76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Este componente actúa como el pulmón expresivo, técnico y estético de la </w:t>
      </w:r>
      <w:r w:rsidRPr="004F7634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Estrategia Museal</w:t>
      </w:r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, desplegándose de manera integral tanto en los espacios internos de la Casa Museo como en las calles y entornos públicos de El Pozón. Su propósito fundamental es decolonial y pedagógico: activar la imaginación colectiva y dotar a las juventudes de herramientas críticas y creativas para canalizar sus memorias, dolores, alegrías y visiones de futuro. Bajo el </w:t>
      </w:r>
      <w:r w:rsidRPr="004F7634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Modelo ACO</w:t>
      </w:r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>, el Laboratorio Creativo subvierte las narrativas de exclusión mediante el arte vivo, el folclor y la memoria ancestral, conectando de forma directa las raíces prehispánicas con la herencia afro-anfibia, transformando el estigma de la periferia en potencia creadora y convirtiendo a los participantes en guardianes de la herencia milenaria y agentes activos de una cultura de paz.</w:t>
      </w:r>
    </w:p>
    <w:p w:rsidR="004F7634" w:rsidRPr="004F7634" w:rsidRDefault="004F7634" w:rsidP="004F76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</w:pPr>
      <w:r w:rsidRPr="004F7634"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  <w:t>2. EJES TEMÁTICOS FUNDAMENTALES (Estructura de Contenidos)</w:t>
      </w:r>
    </w:p>
    <w:p w:rsidR="004F7634" w:rsidRPr="004F7634" w:rsidRDefault="004F7634" w:rsidP="004F76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4F7634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Eje 1: Artes Manuales, Plásticas y Bisutería Ancestral:</w:t>
      </w:r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Laboratorios prácticos dentro del museo enfocados en la enseñanza de artes plásticas, modelado cerámico e iconografía indígena, junto a talleres de bisutería comunitaria con enfoque étnico. Este espacio promueve el diseño de accesorios e indumentarias que reinterpretan la simbología precolombina (basada en los vestigios arqueológicos locales) y las estéticas africanas, utilizando elementos de la naturaleza </w:t>
      </w:r>
      <w:proofErr w:type="spellStart"/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>estuarina</w:t>
      </w:r>
      <w:proofErr w:type="spellEnd"/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y sirviendo como semillero de microeconomías solidarias para los jóvenes y la subsistencia de la Fundación.</w:t>
      </w:r>
    </w:p>
    <w:p w:rsidR="004F7634" w:rsidRPr="004F7634" w:rsidRDefault="004F7634" w:rsidP="004F76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4F7634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Eje 2: Artes Escénicas, Música y Folclor de la Resistencia:</w:t>
      </w:r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Espacio de formación y preservación de los ritmos tradicionales del Caribe, las danzas folclóricas y el teatro comunitario. A través de la puesta en escena y la música folclórica, se reconstruyen las memorias orales de El Pozón, utilizando el cuerpo y el sonido (herencia del tambor afro y los vientos indígenas) como herramientas de sanación del tejido social, mediación de conflictos y encuentro intergeneracional.</w:t>
      </w:r>
    </w:p>
    <w:p w:rsidR="004F7634" w:rsidRPr="004F7634" w:rsidRDefault="004F7634" w:rsidP="004F76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4F7634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Eje 3: Rutas de Resistencia Afro, Memoria Precolombina y Estéticas del Territorio:</w:t>
      </w:r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Estudio e investigación de la herencia milenaria y cimarrona plasmada en obras pictóricas y recorridos artísticos fundamentales para el barrio:</w:t>
      </w:r>
    </w:p>
    <w:p w:rsidR="004F7634" w:rsidRPr="004F7634" w:rsidRDefault="004F7634" w:rsidP="004F763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4F7634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Rutas de Escape:</w:t>
      </w:r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Exploración de las estéticas del </w:t>
      </w:r>
      <w:proofErr w:type="spellStart"/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>autorreconocimiento</w:t>
      </w:r>
      <w:proofErr w:type="spellEnd"/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y la libertad a través del lienzo, mapeando las rutas históricas y contemporáneas de la dignidad afro y el </w:t>
      </w:r>
      <w:proofErr w:type="spellStart"/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>cimarronaje</w:t>
      </w:r>
      <w:proofErr w:type="spellEnd"/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>.</w:t>
      </w:r>
    </w:p>
    <w:p w:rsidR="004F7634" w:rsidRPr="004F7634" w:rsidRDefault="004F7634" w:rsidP="004F763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4F7634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lastRenderedPageBreak/>
        <w:t>Tierras del Manglar:</w:t>
      </w:r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Creación plástica inspirada en el paisaje </w:t>
      </w:r>
      <w:proofErr w:type="spellStart"/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>anfíbio</w:t>
      </w:r>
      <w:proofErr w:type="spellEnd"/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>, visibilizando pictóricamente la relación simbiótica ancestral entre la comunidad y su ecosistema de ciénaga y manglar.</w:t>
      </w:r>
    </w:p>
    <w:p w:rsidR="004F7634" w:rsidRPr="004F7634" w:rsidRDefault="004F7634" w:rsidP="004F763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4F7634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La Ruta del Caracol (El Origen Primigenio):</w:t>
      </w:r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Inspirada en la espiral sagrada del caracol —símbolo identitario de la Fundación—, este eje conecta directamente con la cosmogonía de los </w:t>
      </w:r>
      <w:r w:rsidRPr="004F7634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primeros nativos americanos</w:t>
      </w:r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que habitaron el territorio </w:t>
      </w:r>
      <w:proofErr w:type="spellStart"/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>estuarino</w:t>
      </w:r>
      <w:proofErr w:type="spellEnd"/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(sociedades prehispánicas de los concheros). El caracol, como tecnología ancestral de comunicación, alimento y espiral del tiempo, conceptualiza los </w:t>
      </w:r>
      <w:r w:rsidRPr="004F7634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intercambios artísticos</w:t>
      </w:r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locales e internacionales, vinculando los saberes milenarios de El Pozón con otras realidades periféricas del mundo en un movimiento de crecimiento orgánico y solidario.</w:t>
      </w:r>
    </w:p>
    <w:p w:rsidR="004F7634" w:rsidRPr="004F7634" w:rsidRDefault="004F7634" w:rsidP="004F76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</w:pPr>
      <w:r w:rsidRPr="004F7634"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  <w:t>3. RUTA METODOLÓGICA EN 5 FASES (Modelo ACO)</w:t>
      </w:r>
    </w:p>
    <w:p w:rsidR="004F7634" w:rsidRPr="004F7634" w:rsidRDefault="004F7634" w:rsidP="004F76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>La secuencia didáctica entrelaza el pensamiento crítico, el folclor y la producción técnica en las salas del museo y el asfalto:</w:t>
      </w:r>
    </w:p>
    <w:p w:rsidR="004F7634" w:rsidRPr="004F7634" w:rsidRDefault="004F7634" w:rsidP="004F76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>$$\</w:t>
      </w:r>
      <w:proofErr w:type="spellStart"/>
      <w:proofErr w:type="gramStart"/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>text</w:t>
      </w:r>
      <w:proofErr w:type="spellEnd"/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>{</w:t>
      </w:r>
      <w:proofErr w:type="gramEnd"/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>[Fase 1: Sentir y Mapear]} \</w:t>
      </w:r>
      <w:proofErr w:type="spellStart"/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>rightarrow</w:t>
      </w:r>
      <w:proofErr w:type="spellEnd"/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\</w:t>
      </w:r>
      <w:proofErr w:type="spellStart"/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>text</w:t>
      </w:r>
      <w:proofErr w:type="spellEnd"/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>{[Fase 2: Co-crear y Sentipensar]} \</w:t>
      </w:r>
      <w:proofErr w:type="spellStart"/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>rightarrow</w:t>
      </w:r>
      <w:proofErr w:type="spellEnd"/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\</w:t>
      </w:r>
      <w:proofErr w:type="spellStart"/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>text</w:t>
      </w:r>
      <w:proofErr w:type="spellEnd"/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{[Fase 3: </w:t>
      </w:r>
      <w:proofErr w:type="spellStart"/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>Prototipar</w:t>
      </w:r>
      <w:proofErr w:type="spellEnd"/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e Innovar]} \</w:t>
      </w:r>
      <w:proofErr w:type="spellStart"/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>rightarrow</w:t>
      </w:r>
      <w:proofErr w:type="spellEnd"/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\</w:t>
      </w:r>
      <w:proofErr w:type="spellStart"/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>text</w:t>
      </w:r>
      <w:proofErr w:type="spellEnd"/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>{[Fase 4: Plasmar en Minga]} \</w:t>
      </w:r>
      <w:proofErr w:type="spellStart"/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>rightarrow</w:t>
      </w:r>
      <w:proofErr w:type="spellEnd"/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\</w:t>
      </w:r>
      <w:proofErr w:type="spellStart"/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>text</w:t>
      </w:r>
      <w:proofErr w:type="spellEnd"/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>{[Fase 5: Activar e Intercambiar]}$$</w:t>
      </w:r>
    </w:p>
    <w:p w:rsidR="004F7634" w:rsidRPr="004F7634" w:rsidRDefault="004F7634" w:rsidP="004F763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4F7634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Obtener Información (“Derivas del Sentir”):</w:t>
      </w:r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Recorridos sensibles por el barrio para capturar los sonidos del folclor cotidiano, los colores de las fachadas, las texturas de la tierra </w:t>
      </w:r>
      <w:proofErr w:type="spellStart"/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>estuarina</w:t>
      </w:r>
      <w:proofErr w:type="spellEnd"/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y los relatos de resistencia que inspirarán las obras plásticas, el modelado cerámico ancestral, las piezas de teatro y la bisutería.</w:t>
      </w:r>
    </w:p>
    <w:p w:rsidR="004F7634" w:rsidRPr="004F7634" w:rsidRDefault="004F7634" w:rsidP="004F763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4F7634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Opinar (“Círculos del Imaginario Cimarrón e Indígena”):</w:t>
      </w:r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Laboratorios de debate crítico en la Casa Museo sobre el racismo estructural, la invisibilización de las raíces indígenas y afro en la historia oficial, y cómo el arte comunitario y las obras de las </w:t>
      </w:r>
      <w:r w:rsidRPr="004F7634">
        <w:rPr>
          <w:rFonts w:ascii="Times New Roman" w:eastAsia="Times New Roman" w:hAnsi="Times New Roman" w:cs="Times New Roman"/>
          <w:i/>
          <w:iCs/>
          <w:sz w:val="24"/>
          <w:szCs w:val="24"/>
          <w:lang w:eastAsia="es-CO"/>
        </w:rPr>
        <w:t>Rutas de Escape</w:t>
      </w:r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devuelven la autonomía y el derecho al relato propio.</w:t>
      </w:r>
    </w:p>
    <w:p w:rsidR="004F7634" w:rsidRPr="004F7634" w:rsidRDefault="004F7634" w:rsidP="004F763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4F7634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Proponer (“Laboratorios del Boceto y la Escena”):</w:t>
      </w:r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Talleres participativos empleando </w:t>
      </w:r>
      <w:proofErr w:type="spellStart"/>
      <w:r w:rsidRPr="004F7634">
        <w:rPr>
          <w:rFonts w:ascii="Times New Roman" w:eastAsia="Times New Roman" w:hAnsi="Times New Roman" w:cs="Times New Roman"/>
          <w:i/>
          <w:iCs/>
          <w:sz w:val="24"/>
          <w:szCs w:val="24"/>
          <w:lang w:eastAsia="es-CO"/>
        </w:rPr>
        <w:t>Design</w:t>
      </w:r>
      <w:proofErr w:type="spellEnd"/>
      <w:r w:rsidRPr="004F7634">
        <w:rPr>
          <w:rFonts w:ascii="Times New Roman" w:eastAsia="Times New Roman" w:hAnsi="Times New Roman" w:cs="Times New Roman"/>
          <w:i/>
          <w:iCs/>
          <w:sz w:val="24"/>
          <w:szCs w:val="24"/>
          <w:lang w:eastAsia="es-CO"/>
        </w:rPr>
        <w:t xml:space="preserve"> </w:t>
      </w:r>
      <w:proofErr w:type="spellStart"/>
      <w:r w:rsidRPr="004F7634">
        <w:rPr>
          <w:rFonts w:ascii="Times New Roman" w:eastAsia="Times New Roman" w:hAnsi="Times New Roman" w:cs="Times New Roman"/>
          <w:i/>
          <w:iCs/>
          <w:sz w:val="24"/>
          <w:szCs w:val="24"/>
          <w:lang w:eastAsia="es-CO"/>
        </w:rPr>
        <w:t>Thinking</w:t>
      </w:r>
      <w:proofErr w:type="spellEnd"/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comunitario. Los estudiantes diseñan los libretos teatrales, las partituras folclóricas, los bocetos de las pinturas de las </w:t>
      </w:r>
      <w:r w:rsidRPr="004F7634">
        <w:rPr>
          <w:rFonts w:ascii="Times New Roman" w:eastAsia="Times New Roman" w:hAnsi="Times New Roman" w:cs="Times New Roman"/>
          <w:i/>
          <w:iCs/>
          <w:sz w:val="24"/>
          <w:szCs w:val="24"/>
          <w:lang w:eastAsia="es-CO"/>
        </w:rPr>
        <w:t>Tierras del Manglar</w:t>
      </w:r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y los muestrarios de bisutería que fusionan iconografía precolombina y afrocaribeña.</w:t>
      </w:r>
    </w:p>
    <w:p w:rsidR="004F7634" w:rsidRPr="004F7634" w:rsidRDefault="004F7634" w:rsidP="004F763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4F7634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Gestionar (“Mingas de Color, Ritmo y Asfalto”):</w:t>
      </w:r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Jornadas colectivas de intervención artística en los espacios externos acordados con los vecinos. Se ejecutan los murales pictóricos y se realizan ensayos abiertos de música y teatro en las calles, articulando el cuidado del espacio público con la vida cultural comunitaria.</w:t>
      </w:r>
    </w:p>
    <w:p w:rsidR="004F7634" w:rsidRPr="004F7634" w:rsidRDefault="004F7634" w:rsidP="004F763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4F7634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Evaluar (“Festival de la Cosecha y el Intercambio”):</w:t>
      </w:r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Activación de la </w:t>
      </w:r>
      <w:r w:rsidRPr="004F7634">
        <w:rPr>
          <w:rFonts w:ascii="Times New Roman" w:eastAsia="Times New Roman" w:hAnsi="Times New Roman" w:cs="Times New Roman"/>
          <w:i/>
          <w:iCs/>
          <w:sz w:val="24"/>
          <w:szCs w:val="24"/>
          <w:lang w:eastAsia="es-CO"/>
        </w:rPr>
        <w:t>Ruta del Caracol</w:t>
      </w:r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mediante festivales públicos, muestras de teatro, conciertos folclóricos e intercambios artísticos con creadores de otros territorios, honrando el sentido de comunidad de los primeros nativos americanos. Las piezas de bisutería, las obras pictóricas y el registro de las puestas en escena se indexan de manera soberana en el Archivo Comunitario Vivo (ACV) de la plataforma digital.</w:t>
      </w:r>
    </w:p>
    <w:p w:rsidR="004F7634" w:rsidRPr="004F7634" w:rsidRDefault="004F7634" w:rsidP="004F76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</w:pPr>
      <w:r w:rsidRPr="004F7634"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  <w:lastRenderedPageBreak/>
        <w:t>4. RECURSOS Y ACTIVADORES CREATIVOS Y FOLCLÓRICOS</w:t>
      </w:r>
    </w:p>
    <w:p w:rsidR="004F7634" w:rsidRPr="004F7634" w:rsidRDefault="004F7634" w:rsidP="004F763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4F7634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Infraestructura de Co-creación de la Casa Museo:</w:t>
      </w:r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Talleres equipados para artes plásticas y modelado cerámico, insumos para bisutería étnica, instrumentos musicales folclóricos (tambores, alegres, llamadores, gaitas, maracas y silbatos indígenas), vestuarios teatrales y el espacio de galería física para la exposición permanente de la Fundación.</w:t>
      </w:r>
    </w:p>
    <w:p w:rsidR="004F7634" w:rsidRPr="004F7634" w:rsidRDefault="004F7634" w:rsidP="004F763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4F7634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El Barrio como Escenario Expandido:</w:t>
      </w:r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Paredes comunitarias para el muralismo de resistencia, las plazas populares para el teatro callejero y los entornos de los Patios Productivos aliados como espacios de inspiración y conciertos al aire libre.</w:t>
      </w:r>
    </w:p>
    <w:p w:rsidR="004F7634" w:rsidRPr="004F7634" w:rsidRDefault="004F7634" w:rsidP="004F763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4F7634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El Repositorio Transmedia ACV:</w:t>
      </w:r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Registro digital </w:t>
      </w:r>
      <w:proofErr w:type="spellStart"/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>hipervínculado</w:t>
      </w:r>
      <w:proofErr w:type="spellEnd"/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en la web que aloja las muestras artísticas virtuales, los catálogos digitales de bisutería y obras plásticas para la </w:t>
      </w:r>
      <w:proofErr w:type="spellStart"/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>autosostenibilidad</w:t>
      </w:r>
      <w:proofErr w:type="spellEnd"/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económica de la Fundación, y las cápsulas de video de los intercambios artísticos internacionales de la </w:t>
      </w:r>
      <w:r w:rsidRPr="004F7634">
        <w:rPr>
          <w:rFonts w:ascii="Times New Roman" w:eastAsia="Times New Roman" w:hAnsi="Times New Roman" w:cs="Times New Roman"/>
          <w:i/>
          <w:iCs/>
          <w:sz w:val="24"/>
          <w:szCs w:val="24"/>
          <w:lang w:eastAsia="es-CO"/>
        </w:rPr>
        <w:t>Ruta del Caracol</w:t>
      </w:r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>.</w:t>
      </w:r>
    </w:p>
    <w:p w:rsidR="004F7634" w:rsidRPr="004F7634" w:rsidRDefault="004F7634" w:rsidP="004F76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</w:pPr>
      <w:r w:rsidRPr="004F7634"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  <w:t>5. SÍNTESIS DE IMPACTO CIUDADANO</w:t>
      </w:r>
    </w:p>
    <w:p w:rsidR="004F7634" w:rsidRPr="004F7634" w:rsidRDefault="004F7634" w:rsidP="004F76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Al culminar las etapas del Laboratorio Creativo Pozonero, los participantes alcanzan el nivel avanzado de </w:t>
      </w:r>
      <w:r w:rsidRPr="004F7634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Soberanía Estética, Agencia Creativa y Gobernanza Cultural</w:t>
      </w:r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. Ya no se conciben como meros espectadores de la cultura de élite institucional, sino como </w:t>
      </w:r>
      <w:r w:rsidRPr="004F7634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artistas de base, investigadores visuales, músicos folclóricos y dinamizadores culturales</w:t>
      </w:r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plenamente dotados de competencias críticas para emplear el arte como un catalizador de transformación social, paz territorial, sanación cimarrona y desarrollo comunitario sostenible, proyectando con orgullo el continuo histórico que une a los primeros nativos americanos con el presente vibrante de El Pozón.</w:t>
      </w:r>
    </w:p>
    <w:p w:rsidR="004F7634" w:rsidRPr="004F7634" w:rsidRDefault="004F7634" w:rsidP="004F76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</w:pPr>
      <w:r w:rsidRPr="004F7634">
        <w:rPr>
          <w:rFonts w:ascii="Segoe UI Symbol" w:eastAsia="Times New Roman" w:hAnsi="Segoe UI Symbol" w:cs="Segoe UI Symbol"/>
          <w:b/>
          <w:bCs/>
          <w:sz w:val="27"/>
          <w:szCs w:val="27"/>
          <w:lang w:eastAsia="es-CO"/>
        </w:rPr>
        <w:t>💡</w:t>
      </w:r>
      <w:r w:rsidRPr="004F7634"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  <w:t xml:space="preserve"> Recomendación de Diseño para la Web (</w:t>
      </w:r>
      <w:hyperlink r:id="rId5" w:tgtFrame="_blank" w:history="1">
        <w:r w:rsidRPr="004F763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es-CO"/>
          </w:rPr>
          <w:t>https://www.casapozonmuseo.org/</w:t>
        </w:r>
      </w:hyperlink>
      <w:r w:rsidRPr="004F7634"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  <w:t>):</w:t>
      </w:r>
    </w:p>
    <w:p w:rsidR="004F7634" w:rsidRPr="004F7634" w:rsidRDefault="004F7634" w:rsidP="004F763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4F7634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Estilo Visual e Interactividad:</w:t>
      </w:r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Este apartado web debe transmitir una gran riqueza visual y rítmica. El fondo translúcido institucional debe incorporar de manera sutil e integrada la figura geométrica de la espiral del caracol (asociada a la Fundación y a los primeros nativos), entrelazada con trazos orgánicos que simulen las raíces del manglar, texturas de cerámica precolombina y siluetas expresivas de tambores y cuerpos en movimiento. Se sugiere una visualización tipo portafolio interactivo multimedia, donde el usuario pueda escuchar audios de los instrumentos ancestrales o ver videos de las obras de teatro al hacer clic sobre los componentes.</w:t>
      </w:r>
    </w:p>
    <w:p w:rsidR="004F7634" w:rsidRPr="004F7634" w:rsidRDefault="004F7634" w:rsidP="004F763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4F7634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Botones Temáticos de Acción (Interactividad):</w:t>
      </w:r>
    </w:p>
    <w:p w:rsidR="004F7634" w:rsidRPr="004F7634" w:rsidRDefault="004F7634" w:rsidP="004F7634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4F7634">
        <w:rPr>
          <w:rFonts w:ascii="Segoe UI Symbol" w:eastAsia="Times New Roman" w:hAnsi="Segoe UI Symbol" w:cs="Segoe UI Symbol"/>
          <w:sz w:val="24"/>
          <w:szCs w:val="24"/>
          <w:lang w:eastAsia="es-CO"/>
        </w:rPr>
        <w:t>🎨</w:t>
      </w:r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Galería de Obras Pictóricas: Rutas de Escape y Tierras del Manglar</w:t>
      </w:r>
    </w:p>
    <w:p w:rsidR="004F7634" w:rsidRPr="004F7634" w:rsidRDefault="004F7634" w:rsidP="004F7634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4F7634">
        <w:rPr>
          <w:rFonts w:ascii="Segoe UI Symbol" w:eastAsia="Times New Roman" w:hAnsi="Segoe UI Symbol" w:cs="Segoe UI Symbol"/>
          <w:sz w:val="24"/>
          <w:szCs w:val="24"/>
          <w:lang w:eastAsia="es-CO"/>
        </w:rPr>
        <w:lastRenderedPageBreak/>
        <w:t>🐚</w:t>
      </w:r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Recorrer la Ruta del Caracol: Raíces Nativas, Intercambios y Festivales Comunitarios</w:t>
      </w:r>
    </w:p>
    <w:p w:rsidR="004F7634" w:rsidRPr="004F7634" w:rsidRDefault="004F7634" w:rsidP="004F7634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4F7634">
        <w:rPr>
          <w:rFonts w:ascii="Segoe UI Symbol" w:eastAsia="Times New Roman" w:hAnsi="Segoe UI Symbol" w:cs="Segoe UI Symbol"/>
          <w:sz w:val="24"/>
          <w:szCs w:val="24"/>
          <w:lang w:eastAsia="es-CO"/>
        </w:rPr>
        <w:t>📿</w:t>
      </w:r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Ver Catálogo de la Tienda Solidaria de Bisutería y Cerámica Ancestral</w:t>
      </w:r>
    </w:p>
    <w:p w:rsidR="004F7634" w:rsidRPr="004F7634" w:rsidRDefault="004F7634" w:rsidP="004F7634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4F7634">
        <w:rPr>
          <w:rFonts w:ascii="Segoe UI Symbol" w:eastAsia="Times New Roman" w:hAnsi="Segoe UI Symbol" w:cs="Segoe UI Symbol"/>
          <w:sz w:val="24"/>
          <w:szCs w:val="24"/>
          <w:lang w:eastAsia="es-CO"/>
        </w:rPr>
        <w:t>🎭</w:t>
      </w:r>
      <w:r w:rsidRPr="004F76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Galería Audiovisual de Música, Teatro y Folclor (Archivo ACV)</w:t>
      </w:r>
    </w:p>
    <w:p w:rsidR="0081407B" w:rsidRDefault="00EF339E"/>
    <w:sectPr w:rsidR="0081407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81440"/>
    <w:multiLevelType w:val="multilevel"/>
    <w:tmpl w:val="35460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AD2F63"/>
    <w:multiLevelType w:val="multilevel"/>
    <w:tmpl w:val="41F0D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FE76FD"/>
    <w:multiLevelType w:val="multilevel"/>
    <w:tmpl w:val="39700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84283E"/>
    <w:multiLevelType w:val="multilevel"/>
    <w:tmpl w:val="2DA47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634"/>
    <w:rsid w:val="002315AF"/>
    <w:rsid w:val="004F7634"/>
    <w:rsid w:val="00EF339E"/>
    <w:rsid w:val="00F90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C7637B-9945-4F89-AEB9-702E4AA63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054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9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2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asapozonmuseo.or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1309</Words>
  <Characters>7203</Characters>
  <Application>Microsoft Office Word</Application>
  <DocSecurity>0</DocSecurity>
  <Lines>60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2026-05-21T19:57:00Z</dcterms:created>
  <dcterms:modified xsi:type="dcterms:W3CDTF">2026-05-21T20:04:00Z</dcterms:modified>
</cp:coreProperties>
</file>